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Default="00216749" w:rsidP="00216749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  <w:lang w:eastAsia="ru-RU"/>
        </w:rPr>
        <w:t>ООО «ИНВЕСТСТРОЙ»</w:t>
      </w:r>
    </w:p>
    <w:p w:rsidR="00216749" w:rsidRDefault="00216749" w:rsidP="00216749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  <w:lang w:eastAsia="ru-RU"/>
        </w:rPr>
        <w:t>г. Тамбов, ул. М. Горького, 17/129</w:t>
      </w:r>
    </w:p>
    <w:p w:rsidR="00216749" w:rsidRDefault="00216749" w:rsidP="00216749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  <w:lang w:eastAsia="ru-RU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216749" w:rsidRDefault="00216749" w:rsidP="00216749">
      <w:pPr>
        <w:jc w:val="center"/>
        <w:rPr>
          <w:b/>
          <w:bCs/>
        </w:rPr>
      </w:pPr>
      <w:bookmarkStart w:id="1" w:name="__DdeLink__1122_1984946892"/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bookmarkEnd w:id="1"/>
      <w:r>
        <w:rPr>
          <w:rFonts w:ascii="TimesNewRomanPSMT" w:eastAsia="Times New Roman" w:hAnsi="TimesNewRomanPSMT" w:cs="Times New Roman"/>
          <w:b/>
          <w:bCs/>
          <w:color w:val="000000"/>
          <w:lang w:eastAsia="ru-RU"/>
        </w:rPr>
        <w:t>в ПАО АКБ «АВАНГАРД» г. Москва БИК 044525201</w:t>
      </w:r>
    </w:p>
    <w:p w:rsidR="00216749" w:rsidRDefault="00216749" w:rsidP="00216749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</w:t>
      </w:r>
    </w:p>
    <w:p w:rsidR="00216749" w:rsidRPr="00216749" w:rsidRDefault="00216749" w:rsidP="00216749">
      <w:pPr>
        <w:rPr>
          <w:rFonts w:ascii="TimesNewRomanPSMT" w:hAnsi="TimesNewRomanPSMT"/>
          <w:sz w:val="24"/>
          <w:szCs w:val="24"/>
        </w:rPr>
      </w:pPr>
      <w:r w:rsidRPr="00216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1-18/1 от «18» января 2016 года</w:t>
      </w:r>
    </w:p>
    <w:p w:rsidR="00216749" w:rsidRDefault="00216749" w:rsidP="00216749">
      <w:pPr>
        <w:jc w:val="center"/>
        <w:rPr>
          <w:rFonts w:ascii="Liberation Serif" w:hAnsi="Liberation Serif"/>
          <w:sz w:val="24"/>
        </w:rPr>
      </w:pPr>
      <w:r w:rsidRPr="0021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ДЕКЛАРАЦИЯ</w:t>
      </w:r>
    </w:p>
    <w:p w:rsidR="00216749" w:rsidRDefault="00216749" w:rsidP="00216749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строительство 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«Слобода», ул. Герасимова 2Б.</w:t>
      </w:r>
    </w:p>
    <w:p w:rsidR="00216749" w:rsidRDefault="00216749" w:rsidP="0021674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216749" w:rsidRDefault="00216749" w:rsidP="00216749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Застройщик: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Общество с ограниченной ответственностью «ИНВЕСТСТРОЙ»</w:t>
      </w:r>
    </w:p>
    <w:p w:rsidR="00216749" w:rsidRDefault="00216749" w:rsidP="00216749"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392000, 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г. Тамбов, ул. М. Горького, 17/129</w:t>
      </w:r>
    </w:p>
    <w:p w:rsidR="00216749" w:rsidRDefault="00216749" w:rsidP="00216749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г. Тамбов, ул. М. Горького, 17/29. Режим работы: понедельник-пятница с 9-00 до 18-00, Суббота-воскресенье – выходные дни.</w:t>
      </w:r>
    </w:p>
    <w:p w:rsidR="00216749" w:rsidRDefault="00216749" w:rsidP="00216749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Свидетельство о постановке на учет Российской организации в налоговом органе по месту нахождения от 17.02.2015 серия 68 №001698744 выдано ИФНС по г.Тамбову, 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ИНН/КПП 6829107966/682901001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6749" w:rsidRDefault="00216749" w:rsidP="00216749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Свидетельство о государственной регистрации юридического лица от 17.02.2015 серия 68 №001698743 выдано ИФНС по г.Тамбову.</w:t>
      </w:r>
    </w:p>
    <w:p w:rsidR="00216749" w:rsidRDefault="00216749" w:rsidP="00216749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Учредители: </w:t>
      </w:r>
    </w:p>
    <w:tbl>
      <w:tblPr>
        <w:tblW w:w="8820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475"/>
        <w:gridCol w:w="2523"/>
      </w:tblGrid>
      <w:tr w:rsidR="00216749" w:rsidTr="00767C22">
        <w:trPr>
          <w:jc w:val="center"/>
        </w:trPr>
        <w:tc>
          <w:tcPr>
            <w:tcW w:w="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6749" w:rsidRDefault="00216749" w:rsidP="00767C22">
            <w:pPr>
              <w:widowControl w:val="0"/>
              <w:ind w:firstLine="1"/>
              <w:jc w:val="both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4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6749" w:rsidRDefault="00216749" w:rsidP="00767C22">
            <w:pPr>
              <w:widowControl w:val="0"/>
              <w:ind w:firstLine="709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6749" w:rsidRDefault="00216749" w:rsidP="00767C22">
            <w:pPr>
              <w:widowControl w:val="0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Размер доли (%)</w:t>
            </w:r>
          </w:p>
        </w:tc>
      </w:tr>
      <w:tr w:rsidR="00216749" w:rsidTr="00767C22">
        <w:trPr>
          <w:jc w:val="center"/>
        </w:trPr>
        <w:tc>
          <w:tcPr>
            <w:tcW w:w="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6749" w:rsidRDefault="00216749" w:rsidP="00767C22">
            <w:pPr>
              <w:widowControl w:val="0"/>
              <w:jc w:val="both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6749" w:rsidRDefault="00216749" w:rsidP="00767C22">
            <w:pPr>
              <w:widowControl w:val="0"/>
              <w:jc w:val="both"/>
              <w:rPr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Краснобельмов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Алексей Константинович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6749" w:rsidRDefault="00216749" w:rsidP="00767C22">
            <w:pPr>
              <w:widowControl w:val="0"/>
              <w:ind w:firstLine="709"/>
              <w:jc w:val="both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216749" w:rsidRDefault="00216749" w:rsidP="00216749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Проекты строительства:</w:t>
      </w:r>
    </w:p>
    <w:p w:rsidR="00216749" w:rsidRDefault="00216749" w:rsidP="00216749">
      <w:pPr>
        <w:jc w:val="both"/>
        <w:rPr>
          <w:rFonts w:ascii="Liberation Serif" w:eastAsia="Arial Unicode MS" w:hAnsi="Liberation Serif" w:cs="Arial Unicode MS" w:hint="eastAsia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Информация о виде лицензируемой деятельности, о номере лицензии, о сроке ее действия, об органе, выдавшем лицензию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Допуск к работам, которые оказывают влияние на  безопасность объектов капитального строительства.</w:t>
      </w:r>
    </w:p>
    <w:p w:rsidR="00216749" w:rsidRDefault="00216749" w:rsidP="00216749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Свидетельство о допуске к работам, которые оказывают влияние на безопасность объектов капитального строительства, которое выдано Саморегулируемой организацией Ассоциация «Межрегиональное объединение строительных организаций Солидарность»,  за регистрационным номером 01-2016-6829107966-С-252, выдано бессрочно. </w:t>
      </w:r>
    </w:p>
    <w:p w:rsidR="00216749" w:rsidRDefault="00216749" w:rsidP="00216749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Финансовый результат текущего года: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 руб.</w:t>
      </w:r>
    </w:p>
    <w:p w:rsidR="00216749" w:rsidRDefault="00216749" w:rsidP="00216749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 xml:space="preserve">Размер кредиторской задолженности на день опубликования проектной декларации: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686295 руб.</w:t>
      </w:r>
    </w:p>
    <w:p w:rsidR="00216749" w:rsidRDefault="00216749" w:rsidP="00216749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Размер дебиторской задолженности на день опубликования проектной декларации: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 руб.</w:t>
      </w:r>
    </w:p>
    <w:p w:rsidR="00216749" w:rsidRPr="00AD7824" w:rsidRDefault="00216749" w:rsidP="0021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Банковские реквизиты застройщика:</w:t>
      </w:r>
      <w:r w:rsidRPr="008E72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Тамбов, ул. М. Горького, 17/129,ИНН/КПП 6829107966/682901001 </w:t>
      </w:r>
      <w:r w:rsidRPr="00AD7824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AD7824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hAnsi="Times New Roman" w:cs="Times New Roman"/>
          <w:color w:val="000000"/>
          <w:sz w:val="24"/>
          <w:szCs w:val="24"/>
        </w:rPr>
        <w:t xml:space="preserve"> 40702810526100000498,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</w:t>
      </w:r>
      <w:proofErr w:type="spellStart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30101810000000000201 в ПАО АКБ «АВАНГАРД» г. Москва БИК 044525201</w:t>
      </w:r>
    </w:p>
    <w:p w:rsidR="00216749" w:rsidRDefault="00216749" w:rsidP="00216749">
      <w:pPr>
        <w:pStyle w:val="a3"/>
        <w:tabs>
          <w:tab w:val="left" w:pos="113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Объект строительства: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Многоквартирный жилой дом с кладовыми в подвале.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Строительный адрес: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д. 2Б.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Цель проекта строительства: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Строительство многоквартирного жилого дома с кладовыми в подвале.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Этапы и сроки реализации строительства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Начало строительства – 25 января 2016 года,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окончание строительства – 31декабря 2019 года.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Результаты негосударственной экспертизы проекта: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Положительным заключением негосударственной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градостроительный деятельности»  №  2-1-1-0012-15 от 01.10.2015 года считать проект многоквартирного жилого дома с кладовыми в подвале по адресу: Тамбовская область, Тамбовский района,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2Б, соответствующим требованиям технических регламентов, в том числе санитарно-эпидемиологическим, экологическим требованиям, требованиям пожарной безопасности, промышленной безопасности и результатам инженерных изысканий, которые также соответствуют требованиям технических регламентов.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Разрешение на строительство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 выдано Администрацией Тамбовского района Тамбовской области № 68-520000-482-2015 от 26 октября 2015 года.</w:t>
      </w:r>
    </w:p>
    <w:p w:rsidR="00216749" w:rsidRDefault="00216749" w:rsidP="00216749">
      <w:pPr>
        <w:pStyle w:val="Default"/>
        <w:jc w:val="both"/>
      </w:pPr>
      <w:r>
        <w:rPr>
          <w:rFonts w:eastAsia="Times New Roman"/>
          <w:bCs/>
          <w:sz w:val="25"/>
          <w:szCs w:val="25"/>
          <w:u w:val="single"/>
          <w:lang w:eastAsia="ru-RU"/>
        </w:rPr>
        <w:t>Сведения о земельном участке:</w:t>
      </w:r>
      <w:r>
        <w:rPr>
          <w:rFonts w:eastAsia="Times New Roman"/>
          <w:bCs/>
          <w:sz w:val="25"/>
          <w:szCs w:val="25"/>
          <w:lang w:eastAsia="ru-RU"/>
        </w:rPr>
        <w:t xml:space="preserve"> земельный участок площадью 2188,0 кв.м., кадастровый номер: 68:20:4020002:1333  вид разрешенного использования  для размещения многоквартирного жилого дома 5-9 этажей. Земельный участок предоставлен Застройщику на основании </w:t>
      </w:r>
      <w:r>
        <w:rPr>
          <w:sz w:val="26"/>
          <w:szCs w:val="26"/>
        </w:rPr>
        <w:t>Договора аренды земельного участка № 4 от 25.09.2015 года, заключенного сроком на 3 года, зарегистрированного Управлением федеральной службы государственной регистрации, кадастра и картографии по Тамбовской области № 68-</w:t>
      </w:r>
      <w:r>
        <w:rPr>
          <w:sz w:val="26"/>
          <w:szCs w:val="26"/>
        </w:rPr>
        <w:lastRenderedPageBreak/>
        <w:t xml:space="preserve">68/023-68/023/293/2015-590/1 от 8.10.2015 года. Собственник земельного участка – </w:t>
      </w:r>
      <w:proofErr w:type="spellStart"/>
      <w:r>
        <w:rPr>
          <w:sz w:val="26"/>
          <w:szCs w:val="26"/>
        </w:rPr>
        <w:t>Краснобельмов</w:t>
      </w:r>
      <w:proofErr w:type="spellEnd"/>
      <w:r>
        <w:rPr>
          <w:sz w:val="26"/>
          <w:szCs w:val="26"/>
        </w:rPr>
        <w:t xml:space="preserve"> Алексей Константинович.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Указанный дом входит в состав жилого комплекса состоящего из 6 многоквартирных домов, расположенных на земельных участках: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2;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А;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Б;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В;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2 Г;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Тамбовский район, д. Крутые Выселки,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Слобода, ул. Герасимова, 4.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жилом комплексе предусмотрено благоустройство придомовой территории, с размещением детской площадки, парковочных мест. Предусмотрена площадка для мусорных контейнеров. Свободная территория озеленяется устройством газона с засевом многолетними травами.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подвальной части многоквартирного жилого дома предусмотрено размещение кладовых, не входящих в состав общего имущества многоквартирного жилого дома с кладовыми в подвале.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Состав общего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имущества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:в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общей долевой собственности участникам долевого строительства после получения   разрешения   на   ввод   в  эксплуатацию объекта строительства будут принадлежать:  лестничные площадки, лестницы, коридоры, технические помещения, крыша, системы водоснабжения, водоотведения, газоснабжения, электроснабжения, включая механическое и электрическое оборудование, а также, земельный участок, на котором расположен объект строительства.</w:t>
      </w:r>
    </w:p>
    <w:p w:rsidR="00216749" w:rsidRDefault="00216749" w:rsidP="00216749">
      <w:pPr>
        <w:tabs>
          <w:tab w:val="left" w:pos="1134"/>
        </w:tabs>
        <w:jc w:val="center"/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Технико-экономические показатели: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  <w:gridCol w:w="1417"/>
        <w:gridCol w:w="2977"/>
      </w:tblGrid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ед. измерения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Всего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участка (благоустраиваемая)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color w:val="00000A"/>
                <w:sz w:val="24"/>
                <w:szCs w:val="24"/>
                <w:lang w:eastAsia="zh-CN" w:bidi="hi-IN"/>
              </w:rPr>
              <w:t>2188</w:t>
            </w: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,0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застройки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579,1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Строительный объём выше 0,000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м3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7618,42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Строительный объём ниже 0,000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м3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1911,0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Общая площадь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2473,4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lastRenderedPageBreak/>
              <w:t>Количество квартир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50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Однокомнатные квартиры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40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Двухкомнатные квартиры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Общая площадь квартир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1805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Жилая площадь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923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помещений общественного назначения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242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Количество кладовых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Площадь кладовых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м2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286,6</w:t>
            </w:r>
          </w:p>
        </w:tc>
      </w:tr>
      <w:tr w:rsidR="00216749" w:rsidRPr="003163A1" w:rsidTr="00767C22">
        <w:tc>
          <w:tcPr>
            <w:tcW w:w="5495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Этажность</w:t>
            </w:r>
          </w:p>
        </w:tc>
        <w:tc>
          <w:tcPr>
            <w:tcW w:w="141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2977" w:type="dxa"/>
            <w:hideMark/>
          </w:tcPr>
          <w:p w:rsidR="00216749" w:rsidRPr="00AD7824" w:rsidRDefault="00216749" w:rsidP="00767C22">
            <w:pPr>
              <w:widowControl w:val="0"/>
              <w:tabs>
                <w:tab w:val="left" w:pos="1134"/>
              </w:tabs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 w:rsidRPr="00AD7824">
              <w:rPr>
                <w:color w:val="00000A"/>
                <w:sz w:val="24"/>
                <w:szCs w:val="24"/>
                <w:lang w:eastAsia="zh-CN" w:bidi="hi-IN"/>
              </w:rPr>
              <w:t>6( в т.ч. подземный - 1)</w:t>
            </w:r>
          </w:p>
        </w:tc>
      </w:tr>
    </w:tbl>
    <w:p w:rsidR="00216749" w:rsidRDefault="00216749" w:rsidP="00216749">
      <w:pPr>
        <w:pStyle w:val="Default"/>
        <w:jc w:val="both"/>
        <w:rPr>
          <w:rFonts w:eastAsia="Calibri"/>
        </w:rPr>
      </w:pPr>
      <w:r>
        <w:rPr>
          <w:sz w:val="26"/>
          <w:szCs w:val="26"/>
          <w:u w:val="single"/>
        </w:rPr>
        <w:t>Предполагаемый срок получения разрешения на ввод в эксплуатацию строящегося объекта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2019 года.</w:t>
      </w:r>
    </w:p>
    <w:p w:rsidR="00216749" w:rsidRDefault="00216749" w:rsidP="00216749">
      <w:pPr>
        <w:pStyle w:val="Default"/>
        <w:jc w:val="both"/>
      </w:pPr>
      <w:r>
        <w:rPr>
          <w:sz w:val="26"/>
          <w:szCs w:val="26"/>
          <w:u w:val="single"/>
        </w:rPr>
        <w:t xml:space="preserve">Орган, ответственный за выдачу разрешения на ввод объекта в эксплуатацию: </w:t>
      </w:r>
      <w:r>
        <w:rPr>
          <w:sz w:val="26"/>
          <w:szCs w:val="26"/>
        </w:rPr>
        <w:t>Администрация Тамбовского района Тамбовской области.</w:t>
      </w:r>
    </w:p>
    <w:p w:rsidR="00216749" w:rsidRDefault="00216749" w:rsidP="00216749">
      <w:pPr>
        <w:pStyle w:val="Default"/>
        <w:jc w:val="both"/>
      </w:pPr>
      <w:r>
        <w:rPr>
          <w:sz w:val="26"/>
          <w:szCs w:val="26"/>
          <w:u w:val="single"/>
        </w:rPr>
        <w:t xml:space="preserve">Возможные финансовые и иные </w:t>
      </w:r>
      <w:proofErr w:type="spellStart"/>
      <w:r>
        <w:rPr>
          <w:sz w:val="26"/>
          <w:szCs w:val="26"/>
          <w:u w:val="single"/>
        </w:rPr>
        <w:t>риски:</w:t>
      </w:r>
      <w:r>
        <w:rPr>
          <w:bCs/>
          <w:sz w:val="26"/>
          <w:szCs w:val="26"/>
        </w:rPr>
        <w:t>по</w:t>
      </w:r>
      <w:proofErr w:type="spellEnd"/>
      <w:r>
        <w:rPr>
          <w:bCs/>
          <w:sz w:val="26"/>
          <w:szCs w:val="26"/>
        </w:rPr>
        <w:t xml:space="preserve"> мнению Застройщика, финансовые риски отсутствуют. 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216749" w:rsidRDefault="00216749" w:rsidP="00216749">
      <w:pPr>
        <w:pStyle w:val="Default"/>
        <w:jc w:val="both"/>
      </w:pPr>
      <w:r>
        <w:rPr>
          <w:bCs/>
          <w:sz w:val="26"/>
          <w:szCs w:val="26"/>
          <w:u w:val="single"/>
        </w:rPr>
        <w:t>Планируемая стоимость строительства:</w:t>
      </w:r>
      <w:r>
        <w:rPr>
          <w:bCs/>
          <w:sz w:val="26"/>
          <w:szCs w:val="26"/>
        </w:rPr>
        <w:t xml:space="preserve"> 59 565 000.</w:t>
      </w:r>
    </w:p>
    <w:p w:rsidR="00216749" w:rsidRDefault="00216749" w:rsidP="00216749">
      <w:pPr>
        <w:pStyle w:val="Default"/>
        <w:jc w:val="both"/>
      </w:pPr>
      <w:r>
        <w:rPr>
          <w:sz w:val="26"/>
          <w:szCs w:val="26"/>
          <w:u w:val="single"/>
        </w:rPr>
        <w:t>Организация, осуществляющая основные СМР:</w:t>
      </w:r>
      <w:r>
        <w:rPr>
          <w:bCs/>
          <w:sz w:val="26"/>
          <w:szCs w:val="26"/>
        </w:rPr>
        <w:t>ООО «ИНВЕСТСТРОЙ»;</w:t>
      </w:r>
    </w:p>
    <w:p w:rsidR="00216749" w:rsidRDefault="00216749" w:rsidP="00216749">
      <w:pPr>
        <w:jc w:val="both"/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Обеспечение обязательств по договору: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Залог в соответствии с п. 1 ст. 12.1 Федерального Закона от 30.12.2004 г. № 214-ФЗ.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В многоквартирном жилом доме в подвале предусмотрено размещение кладовых, не входящих в состав общего имущества в многоквартирном доме в количестве – 10 шт.</w:t>
      </w:r>
    </w:p>
    <w:p w:rsidR="00216749" w:rsidRDefault="00216749" w:rsidP="00216749">
      <w:pPr>
        <w:pStyle w:val="Default"/>
        <w:jc w:val="both"/>
      </w:pPr>
      <w:r>
        <w:rPr>
          <w:bCs/>
          <w:sz w:val="26"/>
          <w:szCs w:val="26"/>
        </w:rPr>
        <w:t xml:space="preserve">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216749" w:rsidRDefault="00216749" w:rsidP="00216749">
      <w:pPr>
        <w:pStyle w:val="Default"/>
        <w:jc w:val="both"/>
      </w:pPr>
      <w:r>
        <w:rPr>
          <w:sz w:val="26"/>
          <w:szCs w:val="26"/>
          <w:u w:val="single"/>
        </w:rPr>
        <w:t>Иные договора на основании которых привлекаются денежные средства:</w:t>
      </w:r>
      <w:r>
        <w:rPr>
          <w:sz w:val="26"/>
          <w:szCs w:val="26"/>
        </w:rPr>
        <w:t xml:space="preserve"> нет.</w:t>
      </w:r>
    </w:p>
    <w:p w:rsidR="00216749" w:rsidRDefault="00216749" w:rsidP="00216749">
      <w:pPr>
        <w:tabs>
          <w:tab w:val="left" w:pos="1134"/>
        </w:tabs>
        <w:jc w:val="both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Место опубликования проектной декларации: официальный сайт микрорайона в сети Интернет: </w:t>
      </w:r>
    </w:p>
    <w:p w:rsidR="00216749" w:rsidRDefault="00216749" w:rsidP="00216749">
      <w:pPr>
        <w:tabs>
          <w:tab w:val="left" w:pos="1134"/>
        </w:tabs>
      </w:pPr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http</w:t>
      </w:r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eastAsia="ru-RU"/>
        </w:rPr>
        <w:t>://микрорайон-</w:t>
      </w:r>
      <w:proofErr w:type="spellStart"/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eastAsia="ru-RU"/>
        </w:rPr>
        <w:t>изумрудный.рф</w:t>
      </w:r>
      <w:proofErr w:type="spellEnd"/>
      <w:r>
        <w:rPr>
          <w:rStyle w:val="a4"/>
          <w:rFonts w:ascii="Times New Roman" w:eastAsia="Times New Roman" w:hAnsi="Times New Roman" w:cs="Times New Roman"/>
          <w:bCs/>
          <w:sz w:val="25"/>
          <w:szCs w:val="25"/>
          <w:lang w:eastAsia="ru-RU"/>
        </w:rPr>
        <w:t>/</w:t>
      </w:r>
    </w:p>
    <w:p w:rsidR="00216749" w:rsidRDefault="00216749" w:rsidP="00216749">
      <w:pPr>
        <w:tabs>
          <w:tab w:val="left" w:pos="1134"/>
        </w:tabs>
        <w:jc w:val="right"/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Дата публикации 25.01.2016</w:t>
      </w:r>
    </w:p>
    <w:p w:rsidR="00216749" w:rsidRDefault="00216749" w:rsidP="002167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16749" w:rsidRDefault="00216749" w:rsidP="002167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B6E28" w:rsidRDefault="006B6E28"/>
    <w:p w:rsidR="00216749" w:rsidRDefault="00216749"/>
    <w:p w:rsidR="00216749" w:rsidRDefault="00216749" w:rsidP="00216749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216749" w:rsidRDefault="00216749" w:rsidP="00216749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216749" w:rsidRDefault="00216749" w:rsidP="00216749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216749" w:rsidRDefault="00216749" w:rsidP="00216749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216749" w:rsidRDefault="00216749" w:rsidP="002167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216749" w:rsidRPr="00551D90" w:rsidRDefault="00216749" w:rsidP="002167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6749" w:rsidRPr="00551D90" w:rsidRDefault="00216749" w:rsidP="002167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№1-18/2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марта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216749" w:rsidRPr="003163A1" w:rsidRDefault="00216749" w:rsidP="002167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16749" w:rsidRDefault="00216749" w:rsidP="00216749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216749" w:rsidRDefault="00216749" w:rsidP="00216749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216749" w:rsidRDefault="00216749" w:rsidP="00216749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216749" w:rsidRPr="00BF30A8" w:rsidRDefault="00216749" w:rsidP="002167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216749" w:rsidRDefault="00216749" w:rsidP="002167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216749" w:rsidRDefault="00216749" w:rsidP="002167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16749" w:rsidRPr="003163A1" w:rsidRDefault="00216749" w:rsidP="002167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216749" w:rsidRDefault="00216749" w:rsidP="002167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16749" w:rsidRPr="00A82BC7" w:rsidRDefault="00216749" w:rsidP="00216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  <w:r w:rsidRPr="00A82BC7"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216749" w:rsidRPr="00A270DD" w:rsidRDefault="00216749" w:rsidP="00216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Генеральный договор о способе и условиях обеспечения исполнения обязательств застройщика за неисполнение и ненадлежащее исполнение обязательств по передаче жилого помещения по договору участия в долевом строительстве ЗГО №682901000 от 11 марта 2016 года. Страховщик Акционерное общество «Международная страховая компания профсоюзов» «МЕСКО» ИНН7736056157 КПП774401001; </w:t>
      </w:r>
      <w:r w:rsidRPr="0053602E">
        <w:rPr>
          <w:rFonts w:ascii="Times New Roman" w:hAnsi="Times New Roman" w:cs="Times New Roman"/>
          <w:bCs/>
          <w:color w:val="000000"/>
          <w:sz w:val="25"/>
          <w:szCs w:val="25"/>
        </w:rPr>
        <w:t>ОГРН: 1027739149690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. Место нахождение: г. Москва, 5-й Донской проезд, д. 21 Б, стр. 10</w:t>
      </w:r>
    </w:p>
    <w:p w:rsidR="00216749" w:rsidRDefault="00216749" w:rsidP="00216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</w:p>
    <w:p w:rsidR="00216749" w:rsidRPr="009305FF" w:rsidRDefault="00216749" w:rsidP="00216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216749" w:rsidRPr="00A270DD" w:rsidRDefault="00216749" w:rsidP="002167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216749" w:rsidRDefault="00BD784C" w:rsidP="002167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5" w:history="1">
        <w:r w:rsidR="00216749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216749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216749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216749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216749" w:rsidRDefault="00216749" w:rsidP="0021674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216749" w:rsidRDefault="00216749" w:rsidP="0021674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216749" w:rsidRPr="002146D0" w:rsidRDefault="00216749" w:rsidP="0021674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12.03.2016</w:t>
      </w:r>
    </w:p>
    <w:p w:rsidR="00216749" w:rsidRPr="00B80B8E" w:rsidRDefault="00216749" w:rsidP="002167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216749" w:rsidRDefault="00216749" w:rsidP="00216749">
      <w:r>
        <w:t>м.п.</w:t>
      </w:r>
    </w:p>
    <w:p w:rsidR="00216749" w:rsidRDefault="00216749" w:rsidP="002167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16749" w:rsidRDefault="00216749" w:rsidP="002167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16749" w:rsidRDefault="00216749"/>
    <w:p w:rsidR="009A2783" w:rsidRDefault="009A2783"/>
    <w:p w:rsidR="009A2783" w:rsidRDefault="009A2783"/>
    <w:p w:rsidR="009A2783" w:rsidRDefault="009A2783"/>
    <w:p w:rsidR="009A2783" w:rsidRDefault="009A2783"/>
    <w:p w:rsidR="009A2783" w:rsidRDefault="009A2783"/>
    <w:p w:rsidR="009A2783" w:rsidRDefault="009A2783" w:rsidP="009A2783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№1-18/3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апреля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A2783" w:rsidRPr="003163A1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Pr="00BF30A8" w:rsidRDefault="009A2783" w:rsidP="009A2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Pr="003163A1" w:rsidRDefault="009A2783" w:rsidP="009A27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Default="009A2783" w:rsidP="009A2783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01.04.2016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 руб.</w:t>
      </w:r>
    </w:p>
    <w:p w:rsidR="009A2783" w:rsidRDefault="009A2783" w:rsidP="009A2783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кредиторской задолженности по состоянию на 01.04.2016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840372 руб.</w:t>
      </w:r>
    </w:p>
    <w:p w:rsidR="009A2783" w:rsidRDefault="009A2783" w:rsidP="009A2783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Размер дебиторской задолженности по состоянию на 01.04.2016 г.: 51156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9A2783" w:rsidRPr="00AD7824" w:rsidRDefault="009A2783" w:rsidP="009A2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застройщика:</w:t>
      </w:r>
      <w:r w:rsidRPr="008E72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Тамбов, ул. М. Горького, 17/129,ИНН/КПП 6829107966/682901001 </w:t>
      </w:r>
      <w:r w:rsidRPr="00AD7824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AD7824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hAnsi="Times New Roman" w:cs="Times New Roman"/>
          <w:color w:val="000000"/>
          <w:sz w:val="24"/>
          <w:szCs w:val="24"/>
        </w:rPr>
        <w:t xml:space="preserve"> 40702810526100000498,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spellStart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30101810000000000201 в ПАО АКБ «АВАНГАРД» г. Москва БИК 044525201</w:t>
      </w:r>
    </w:p>
    <w:p w:rsidR="009A2783" w:rsidRPr="009305FF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Pr="00A270DD" w:rsidRDefault="009A2783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9A2783" w:rsidRDefault="00BD784C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6" w:history="1"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Pr="002146D0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01.04.2016</w:t>
      </w:r>
    </w:p>
    <w:p w:rsidR="009A2783" w:rsidRPr="00B80B8E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Default="009A2783" w:rsidP="009A2783">
      <w:r>
        <w:t>м.п.</w:t>
      </w: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Default="009A2783"/>
    <w:p w:rsidR="009A2783" w:rsidRDefault="009A2783"/>
    <w:p w:rsidR="009A2783" w:rsidRDefault="009A2783"/>
    <w:p w:rsidR="009A2783" w:rsidRDefault="009A2783"/>
    <w:p w:rsidR="009A2783" w:rsidRDefault="009A2783" w:rsidP="009A2783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№1-18/4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апреля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A2783" w:rsidRPr="003163A1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Pr="00BF30A8" w:rsidRDefault="009A2783" w:rsidP="009A2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Default="009A2783" w:rsidP="009A2783">
      <w:pPr>
        <w:pStyle w:val="a3"/>
        <w:tabs>
          <w:tab w:val="left" w:pos="113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9A2783" w:rsidRPr="003F78DF" w:rsidRDefault="009A2783" w:rsidP="009A2783">
      <w:pPr>
        <w:tabs>
          <w:tab w:val="left" w:pos="1134"/>
        </w:tabs>
        <w:jc w:val="both"/>
        <w:rPr>
          <w:u w:val="single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u w:val="single"/>
        </w:rPr>
        <w:t>Разрешение на строительство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: выдано Администрацией Тамбовского района Тамбовской области № 68-520000-482-2015 от 26 октября 2015 года. Действие разрешения на строительство продлено Администрацией Тамбовского района Тамбовской области </w:t>
      </w:r>
      <w:r w:rsidRPr="003F78DF">
        <w:rPr>
          <w:rFonts w:ascii="Times New Roman" w:eastAsia="Times New Roman" w:hAnsi="Times New Roman" w:cs="Times New Roman"/>
          <w:bCs/>
          <w:sz w:val="25"/>
          <w:szCs w:val="25"/>
          <w:u w:val="single"/>
        </w:rPr>
        <w:t>до 31 декабря 2016 г.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Pr="009305FF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Pr="00A270DD" w:rsidRDefault="009A2783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9A2783" w:rsidRDefault="00BD784C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7" w:history="1"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Pr="002146D0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23.04.2016</w:t>
      </w:r>
    </w:p>
    <w:p w:rsidR="009A2783" w:rsidRPr="00B80B8E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Default="009A2783" w:rsidP="009A2783">
      <w:r>
        <w:t>м.п.</w:t>
      </w: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Default="009A2783"/>
    <w:p w:rsidR="009A2783" w:rsidRDefault="009A2783"/>
    <w:p w:rsidR="009A2783" w:rsidRDefault="009A2783"/>
    <w:p w:rsidR="009A2783" w:rsidRDefault="009A2783" w:rsidP="009A2783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№1-18/5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июля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A2783" w:rsidRPr="003163A1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Pr="00BF30A8" w:rsidRDefault="009A2783" w:rsidP="009A2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Pr="003163A1" w:rsidRDefault="009A2783" w:rsidP="009A27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Default="009A2783" w:rsidP="009A2783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01.07.2016 г.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убыток 11 000 руб.</w:t>
      </w:r>
    </w:p>
    <w:p w:rsidR="009A2783" w:rsidRDefault="009A2783" w:rsidP="009A2783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Размер кредиторской зад</w:t>
      </w:r>
      <w:r w:rsidR="006C3F4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олженности по состоянию на 01.07.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927 000 руб.</w:t>
      </w:r>
    </w:p>
    <w:p w:rsidR="009A2783" w:rsidRDefault="009A2783" w:rsidP="009A2783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Размер дебиторской зад</w:t>
      </w:r>
      <w:r w:rsidR="006C3F4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олженности по состоянию на 01.07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.2016 г.: 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9A2783" w:rsidRPr="00AD7824" w:rsidRDefault="009A2783" w:rsidP="009A2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застройщика:</w:t>
      </w:r>
      <w:r w:rsidRPr="008E72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Тамбов, ул. М. Горького, 17/129,ИНН/КПП 6829107966/682901001 </w:t>
      </w:r>
      <w:r w:rsidRPr="00AD7824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AD7824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hAnsi="Times New Roman" w:cs="Times New Roman"/>
          <w:color w:val="000000"/>
          <w:sz w:val="24"/>
          <w:szCs w:val="24"/>
        </w:rPr>
        <w:t xml:space="preserve"> 40702810526100000498,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spellStart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30101810000000000201 в ПАО АКБ «АВАНГАРД» г. Москва БИК 044525201</w:t>
      </w:r>
    </w:p>
    <w:p w:rsidR="009A2783" w:rsidRPr="009305FF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Pr="00A270DD" w:rsidRDefault="009A2783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9A2783" w:rsidRDefault="00BD784C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8" w:history="1"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Pr="002146D0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01.07.2016</w:t>
      </w:r>
    </w:p>
    <w:p w:rsidR="009A2783" w:rsidRPr="00B80B8E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Default="009A2783" w:rsidP="009A2783">
      <w:r>
        <w:t>м.п.</w:t>
      </w: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Pr="00BC782F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Default="009A2783"/>
    <w:p w:rsidR="009A2783" w:rsidRDefault="009A2783"/>
    <w:p w:rsidR="009A2783" w:rsidRDefault="009A2783"/>
    <w:p w:rsidR="009A2783" w:rsidRDefault="009A2783"/>
    <w:p w:rsidR="009A2783" w:rsidRDefault="009A2783" w:rsidP="009A2783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9A2783" w:rsidRDefault="009A2783" w:rsidP="009A2783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2783" w:rsidRPr="00551D90" w:rsidRDefault="009A2783" w:rsidP="009A2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№1-18/6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июля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A2783" w:rsidRPr="003163A1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Default="009A2783" w:rsidP="009A2783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9A2783" w:rsidRPr="00BF30A8" w:rsidRDefault="009A2783" w:rsidP="009A2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Pr="003163A1" w:rsidRDefault="009A2783" w:rsidP="009A27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9A2783" w:rsidRDefault="009A2783" w:rsidP="009A2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A2783" w:rsidRPr="00A82BC7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  <w:r w:rsidRPr="00A82BC7"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910D21" w:rsidRDefault="009A2783" w:rsidP="00910D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Генеральный договор страхования гражданской ответственности застройщика за неисполнение или ненадлежащее </w:t>
      </w:r>
      <w:r w:rsidR="00910D21">
        <w:rPr>
          <w:rFonts w:ascii="Times New Roman" w:hAnsi="Times New Roman" w:cs="Times New Roman"/>
          <w:bCs/>
          <w:color w:val="000000"/>
          <w:sz w:val="25"/>
          <w:szCs w:val="25"/>
        </w:rPr>
        <w:t>исполнение обязательств по передаче жилого помещения по договору участия в долевом строительстве №35-58011/2016 от 19 июля 2016 г. Страховщик Общество с ограниченной ответственностью «Региональная страховая компания» ИНН 1832008660 КПП 997950001, ОГРН 1021801434643. Место нахождения: 127018, г. Москва, ул. Складочная, д. 1, стр. 15.</w:t>
      </w:r>
    </w:p>
    <w:p w:rsidR="00910D21" w:rsidRDefault="00910D21" w:rsidP="00910D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Объектом страхования являются имущественные интересы Страхователя (Застройщика), связанные с риском наступления его ответственности перед участником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</w:t>
      </w:r>
    </w:p>
    <w:p w:rsidR="009A2783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</w:pPr>
    </w:p>
    <w:p w:rsidR="009A2783" w:rsidRPr="009305FF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Pr="00A270DD" w:rsidRDefault="009A2783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9A2783" w:rsidRDefault="00BD784C" w:rsidP="009A278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9" w:history="1"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9A2783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Default="009A2783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9A2783" w:rsidRPr="002146D0" w:rsidRDefault="00910D21" w:rsidP="009A27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19.07</w:t>
      </w:r>
      <w:r w:rsidR="009A2783">
        <w:rPr>
          <w:rFonts w:ascii="Times New Roman" w:hAnsi="Times New Roman" w:cs="Times New Roman"/>
          <w:bCs/>
          <w:sz w:val="25"/>
          <w:szCs w:val="25"/>
        </w:rPr>
        <w:t>.2016</w:t>
      </w:r>
    </w:p>
    <w:p w:rsidR="009A2783" w:rsidRPr="00B80B8E" w:rsidRDefault="009A2783" w:rsidP="009A27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9A2783" w:rsidRDefault="009A2783" w:rsidP="009A2783">
      <w:r>
        <w:t>м.п.</w:t>
      </w:r>
    </w:p>
    <w:p w:rsidR="009A2783" w:rsidRDefault="009A2783" w:rsidP="009A278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A2783" w:rsidRDefault="009A2783"/>
    <w:p w:rsidR="00A61812" w:rsidRDefault="00A61812"/>
    <w:p w:rsidR="00A61812" w:rsidRDefault="00A61812"/>
    <w:p w:rsidR="00A61812" w:rsidRDefault="00A61812" w:rsidP="00A61812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A61812" w:rsidRDefault="00A61812" w:rsidP="00A61812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A61812" w:rsidRDefault="00A61812" w:rsidP="00A61812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A61812" w:rsidRDefault="00A61812" w:rsidP="00A61812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A61812" w:rsidRDefault="00A61812" w:rsidP="00A618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A61812" w:rsidRPr="00551D90" w:rsidRDefault="00A61812" w:rsidP="00A6181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812" w:rsidRPr="00551D90" w:rsidRDefault="00D16F56" w:rsidP="00A6181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№1-18/7</w:t>
      </w:r>
      <w:r w:rsidR="00A61812"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A61812"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61812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A61812"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61812">
        <w:rPr>
          <w:rFonts w:ascii="Times New Roman" w:hAnsi="Times New Roman" w:cs="Times New Roman"/>
          <w:bCs/>
          <w:color w:val="000000"/>
          <w:sz w:val="24"/>
          <w:szCs w:val="24"/>
        </w:rPr>
        <w:t>октября 2016</w:t>
      </w:r>
      <w:r w:rsidR="00A61812"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A61812" w:rsidRPr="003163A1" w:rsidRDefault="00A61812" w:rsidP="00A618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61812" w:rsidRDefault="00A61812" w:rsidP="00A61812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A61812" w:rsidRDefault="00A61812" w:rsidP="00A61812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A61812" w:rsidRDefault="00A61812" w:rsidP="00A61812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A61812" w:rsidRPr="00BF30A8" w:rsidRDefault="00A61812" w:rsidP="00A61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A61812" w:rsidRDefault="00A61812" w:rsidP="00A618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A61812" w:rsidRDefault="00A61812" w:rsidP="00A618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61812" w:rsidRPr="003163A1" w:rsidRDefault="00A61812" w:rsidP="00A6181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A61812" w:rsidRDefault="00A61812" w:rsidP="00A618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61812" w:rsidRDefault="00A61812" w:rsidP="00A61812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</w:t>
      </w:r>
      <w:r w:rsidR="0068411D"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.10.2016 г.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прибыль 16 000 руб.</w:t>
      </w:r>
    </w:p>
    <w:p w:rsidR="00A61812" w:rsidRDefault="00A61812" w:rsidP="00A61812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Размер кредиторской</w:t>
      </w:r>
      <w:r w:rsid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задолженности по состоянию на </w:t>
      </w:r>
      <w:r w:rsidR="0068411D"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1.10.2016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897 000 руб.</w:t>
      </w:r>
    </w:p>
    <w:p w:rsidR="00A61812" w:rsidRDefault="00A61812" w:rsidP="00A61812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по состоянию на </w:t>
      </w:r>
      <w:r w:rsidR="0068411D"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.10.2016 г.: 8 886 тыс.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A61812" w:rsidRPr="00AD7824" w:rsidRDefault="00A61812" w:rsidP="00A61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застройщика:</w:t>
      </w:r>
      <w:r w:rsidRPr="008E72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Тамбов, ул. М. Горького, 17/129,ИНН/КПП 6829107966/682901001 </w:t>
      </w:r>
      <w:r w:rsidRPr="00AD7824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AD7824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hAnsi="Times New Roman" w:cs="Times New Roman"/>
          <w:color w:val="000000"/>
          <w:sz w:val="24"/>
          <w:szCs w:val="24"/>
        </w:rPr>
        <w:t xml:space="preserve"> 40702810526100000498, </w:t>
      </w:r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spellStart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AD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30101810000000000201 в ПАО АКБ «АВАНГАРД» г. Москва БИК 044525201</w:t>
      </w:r>
    </w:p>
    <w:p w:rsidR="00A61812" w:rsidRPr="009305FF" w:rsidRDefault="00A61812" w:rsidP="00A61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61812" w:rsidRPr="00A270DD" w:rsidRDefault="00A61812" w:rsidP="00A618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61812" w:rsidRDefault="00BD784C" w:rsidP="00A618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0" w:history="1">
        <w:r w:rsidR="00A61812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A61812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A61812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A61812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A61812" w:rsidRDefault="00A61812" w:rsidP="00A6181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A61812" w:rsidRDefault="00A61812" w:rsidP="00A6181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A61812" w:rsidRPr="002146D0" w:rsidRDefault="00A61812" w:rsidP="00A6181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31.10.2016</w:t>
      </w:r>
    </w:p>
    <w:p w:rsidR="00A61812" w:rsidRPr="00B80B8E" w:rsidRDefault="00A61812" w:rsidP="00A61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61812" w:rsidRDefault="00A61812" w:rsidP="00A61812">
      <w:r>
        <w:t>м.п.</w:t>
      </w:r>
    </w:p>
    <w:p w:rsidR="00A61812" w:rsidRPr="00BC782F" w:rsidRDefault="00A61812" w:rsidP="00A6181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A61812" w:rsidRDefault="00A61812" w:rsidP="00A61812">
      <w:pPr>
        <w:jc w:val="center"/>
      </w:pPr>
    </w:p>
    <w:p w:rsidR="00A61812" w:rsidRDefault="00A61812" w:rsidP="00A61812">
      <w:pPr>
        <w:jc w:val="center"/>
      </w:pPr>
    </w:p>
    <w:p w:rsidR="00A61812" w:rsidRDefault="00A61812"/>
    <w:p w:rsidR="009A2783" w:rsidRDefault="009A2783"/>
    <w:p w:rsidR="00F11AEA" w:rsidRDefault="00F11AEA"/>
    <w:p w:rsidR="00F11AEA" w:rsidRDefault="00F11AEA"/>
    <w:p w:rsidR="00F11AEA" w:rsidRDefault="00F11AEA" w:rsidP="00F11AEA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F11AEA" w:rsidRDefault="00F11AEA" w:rsidP="00F11AE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F11AEA" w:rsidRDefault="00F11AEA" w:rsidP="00F11AEA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F11AEA" w:rsidRDefault="00F11AEA" w:rsidP="00F11AEA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F11AEA" w:rsidRDefault="00F11AEA" w:rsidP="00F11A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F11AEA" w:rsidRPr="00551D90" w:rsidRDefault="00F11AEA" w:rsidP="00F11AE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1AEA" w:rsidRPr="00551D90" w:rsidRDefault="00F11AEA" w:rsidP="00F11AE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</w:t>
      </w:r>
      <w:r w:rsidR="00D16F56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декабря 2016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F11AEA" w:rsidRPr="003163A1" w:rsidRDefault="00F11AEA" w:rsidP="00F11A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11AEA" w:rsidRDefault="00F11AEA" w:rsidP="00F11AE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11AEA" w:rsidRDefault="00F11AEA" w:rsidP="00F11AE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11AEA" w:rsidRDefault="00F11AEA" w:rsidP="00F11AEA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F11AEA" w:rsidRPr="00BF30A8" w:rsidRDefault="00F11AEA" w:rsidP="00F11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F11AEA" w:rsidRDefault="00F11AEA" w:rsidP="00F11A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F11AEA" w:rsidRDefault="00F11AEA" w:rsidP="00F11A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11AEA" w:rsidRPr="003163A1" w:rsidRDefault="00F11AEA" w:rsidP="00F11AE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F11AEA" w:rsidRPr="00DF7DA0" w:rsidRDefault="00F11AEA" w:rsidP="00F11A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1AEA" w:rsidRPr="00DF7DA0" w:rsidRDefault="00F11AEA" w:rsidP="00F11A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F7D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F11AEA" w:rsidRPr="00DF7DA0" w:rsidRDefault="00F11AEA" w:rsidP="00F11AE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Гражданская ответственность </w:t>
      </w:r>
      <w:r w:rsidRPr="00DF7DA0">
        <w:rPr>
          <w:rFonts w:ascii="Times New Roman" w:hAnsi="Times New Roman" w:cs="Times New Roman"/>
          <w:i/>
          <w:spacing w:val="-5"/>
          <w:sz w:val="24"/>
          <w:szCs w:val="24"/>
        </w:rPr>
        <w:t>Застройщика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 застрахована на основании Генерального  договора </w:t>
      </w:r>
      <w:r w:rsidRPr="00DF7DA0">
        <w:rPr>
          <w:rFonts w:ascii="Times New Roman" w:hAnsi="Times New Roman" w:cs="Times New Roman"/>
          <w:sz w:val="24"/>
          <w:szCs w:val="24"/>
        </w:rPr>
        <w:t xml:space="preserve"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>№</w:t>
      </w:r>
      <w:r w:rsidRPr="00DF7DA0">
        <w:rPr>
          <w:rFonts w:ascii="Times New Roman" w:hAnsi="Times New Roman" w:cs="Times New Roman"/>
          <w:sz w:val="24"/>
          <w:szCs w:val="24"/>
        </w:rPr>
        <w:t xml:space="preserve"> ГОЗ-84-2407/16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от 18 ноября 2016 г. Страховщик Общество с ограниченной ответственностью </w:t>
      </w:r>
      <w:r w:rsidRPr="00DF7DA0">
        <w:rPr>
          <w:rFonts w:ascii="Times New Roman" w:hAnsi="Times New Roman" w:cs="Times New Roman"/>
          <w:sz w:val="24"/>
          <w:szCs w:val="24"/>
        </w:rPr>
        <w:t>«Страховая компания «РЕСПЕКТ»</w:t>
      </w:r>
      <w:r w:rsidRPr="00DF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ИНН </w:t>
      </w:r>
      <w:r w:rsidRPr="00DF7DA0">
        <w:rPr>
          <w:rFonts w:ascii="Times New Roman" w:hAnsi="Times New Roman" w:cs="Times New Roman"/>
          <w:sz w:val="24"/>
          <w:szCs w:val="24"/>
        </w:rPr>
        <w:t xml:space="preserve">7743014574 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 xml:space="preserve">КПП </w:t>
      </w:r>
      <w:r w:rsidRPr="00DF7DA0">
        <w:rPr>
          <w:rFonts w:ascii="Times New Roman" w:hAnsi="Times New Roman" w:cs="Times New Roman"/>
          <w:sz w:val="24"/>
          <w:szCs w:val="24"/>
        </w:rPr>
        <w:t>623401001</w:t>
      </w:r>
      <w:r w:rsidRPr="00DF7DA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DF7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Место нахождение: </w:t>
      </w:r>
      <w:r w:rsidRPr="00DF7DA0">
        <w:rPr>
          <w:rFonts w:ascii="Times New Roman" w:hAnsi="Times New Roman" w:cs="Times New Roman"/>
          <w:sz w:val="24"/>
          <w:szCs w:val="24"/>
        </w:rPr>
        <w:t>390023, Рязанская область, г. Рязань, ул. Есенина, д. 29.</w:t>
      </w:r>
    </w:p>
    <w:p w:rsidR="00F11AEA" w:rsidRPr="00DF7DA0" w:rsidRDefault="00F11AEA" w:rsidP="00F11A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DA0">
        <w:rPr>
          <w:rFonts w:ascii="Times New Roman" w:hAnsi="Times New Roman" w:cs="Times New Roman"/>
          <w:sz w:val="24"/>
          <w:szCs w:val="24"/>
        </w:rPr>
        <w:t xml:space="preserve">    </w:t>
      </w:r>
      <w:r w:rsidRPr="00DF7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Объектом страхования являются имущественные интересы Страхователя (Застройщика), связанные с риском наступления его ответственности перед участником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</w:t>
      </w:r>
    </w:p>
    <w:p w:rsidR="00F11AEA" w:rsidRPr="00DF7DA0" w:rsidRDefault="00F11AEA" w:rsidP="00F11A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11AEA" w:rsidRPr="009305FF" w:rsidRDefault="00F11AEA" w:rsidP="00F11A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11AEA" w:rsidRPr="00A270DD" w:rsidRDefault="00F11AEA" w:rsidP="00F11A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F11AEA" w:rsidRDefault="00BD784C" w:rsidP="00F11A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1" w:history="1">
        <w:r w:rsidR="00F11AEA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F11AEA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F11AEA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F11AEA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F11AEA" w:rsidRDefault="00F11AEA" w:rsidP="00F11AE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11AEA" w:rsidRDefault="00F11AEA" w:rsidP="00F11AE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F11AEA" w:rsidRPr="002146D0" w:rsidRDefault="00F11AEA" w:rsidP="00F11AE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13.12.2016</w:t>
      </w:r>
    </w:p>
    <w:p w:rsidR="00F11AEA" w:rsidRPr="00B80B8E" w:rsidRDefault="00F11AEA" w:rsidP="00F11A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11AEA" w:rsidRDefault="00F11AEA" w:rsidP="00F11AEA">
      <w:r>
        <w:t>м.п.</w:t>
      </w:r>
    </w:p>
    <w:p w:rsidR="00F11AEA" w:rsidRDefault="00F11AEA"/>
    <w:p w:rsidR="00A6337C" w:rsidRDefault="00A6337C"/>
    <w:p w:rsidR="00A6337C" w:rsidRDefault="00A6337C"/>
    <w:p w:rsidR="00A6337C" w:rsidRDefault="00A6337C"/>
    <w:p w:rsidR="00A6337C" w:rsidRDefault="00A6337C"/>
    <w:p w:rsidR="00A6337C" w:rsidRDefault="00A6337C" w:rsidP="00A6337C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A6337C" w:rsidRDefault="00A6337C" w:rsidP="00A6337C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A6337C" w:rsidRDefault="00A6337C" w:rsidP="00A6337C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A6337C" w:rsidRDefault="00A6337C" w:rsidP="00A6337C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A6337C" w:rsidRDefault="00A6337C" w:rsidP="00A633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A6337C" w:rsidRPr="00551D90" w:rsidRDefault="00A6337C" w:rsidP="00A6337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37C" w:rsidRPr="00551D90" w:rsidRDefault="00A6337C" w:rsidP="00A6337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№1-18/9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февраля 2017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A6337C" w:rsidRPr="003163A1" w:rsidRDefault="00A6337C" w:rsidP="00A633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6337C" w:rsidRDefault="00A6337C" w:rsidP="00A6337C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A6337C" w:rsidRDefault="00A6337C" w:rsidP="00A6337C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A6337C" w:rsidRDefault="00A6337C" w:rsidP="00A6337C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A6337C" w:rsidRPr="00BF30A8" w:rsidRDefault="00A6337C" w:rsidP="00A633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A6337C" w:rsidRDefault="00A6337C" w:rsidP="00A633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A6337C" w:rsidRDefault="00A6337C" w:rsidP="00A633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6337C" w:rsidRPr="003163A1" w:rsidRDefault="00A6337C" w:rsidP="00A6337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Информация 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проекте строительства</w:t>
      </w:r>
    </w:p>
    <w:p w:rsidR="00A6337C" w:rsidRPr="00DF7DA0" w:rsidRDefault="00A6337C" w:rsidP="00A633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37C" w:rsidRPr="00AE47BC" w:rsidRDefault="00A6337C" w:rsidP="00A6337C">
      <w:pPr>
        <w:pStyle w:val="a7"/>
        <w:tabs>
          <w:tab w:val="left" w:pos="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47BC">
        <w:rPr>
          <w:sz w:val="22"/>
          <w:szCs w:val="22"/>
        </w:rPr>
        <w:t xml:space="preserve">В планировочном отношении жилой дом представляет собой объем, состоящий из </w:t>
      </w:r>
      <w:proofErr w:type="spellStart"/>
      <w:r w:rsidRPr="00AE47BC">
        <w:rPr>
          <w:sz w:val="22"/>
          <w:szCs w:val="22"/>
        </w:rPr>
        <w:t>двухподъездной</w:t>
      </w:r>
      <w:proofErr w:type="spellEnd"/>
      <w:r w:rsidRPr="00AE47BC">
        <w:rPr>
          <w:sz w:val="22"/>
          <w:szCs w:val="22"/>
        </w:rPr>
        <w:t xml:space="preserve"> жилой секции с подвалом. Материал наружных стен – силикатный кирпич, вентилируемый фасад. Материал перекрытий –</w:t>
      </w:r>
      <w:r>
        <w:rPr>
          <w:sz w:val="22"/>
          <w:szCs w:val="22"/>
        </w:rPr>
        <w:t xml:space="preserve"> </w:t>
      </w:r>
      <w:r w:rsidRPr="00AE47BC">
        <w:rPr>
          <w:sz w:val="22"/>
          <w:szCs w:val="22"/>
        </w:rPr>
        <w:t>железобетонные многопустотные плиты</w:t>
      </w:r>
      <w:r>
        <w:rPr>
          <w:sz w:val="22"/>
          <w:szCs w:val="22"/>
        </w:rPr>
        <w:t>. Класс энергоэфф</w:t>
      </w:r>
      <w:r w:rsidRPr="00AE47BC">
        <w:rPr>
          <w:sz w:val="22"/>
          <w:szCs w:val="22"/>
        </w:rPr>
        <w:t>ективности – В; тип сейсмостойкости – 3.</w:t>
      </w:r>
    </w:p>
    <w:p w:rsidR="00A6337C" w:rsidRPr="00DF7DA0" w:rsidRDefault="00A6337C" w:rsidP="00A633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37C" w:rsidRPr="00DF7DA0" w:rsidRDefault="00A6337C" w:rsidP="00A633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6337C" w:rsidRPr="009305FF" w:rsidRDefault="00A6337C" w:rsidP="00A633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6337C" w:rsidRPr="00A270DD" w:rsidRDefault="00A6337C" w:rsidP="00A633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6337C" w:rsidRDefault="00BD784C" w:rsidP="00A633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2" w:history="1">
        <w:r w:rsidR="00A6337C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A6337C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A6337C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A6337C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A6337C" w:rsidRDefault="00A6337C" w:rsidP="00A6337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A6337C" w:rsidRDefault="00A6337C" w:rsidP="00A6337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A6337C" w:rsidRPr="002146D0" w:rsidRDefault="00A6337C" w:rsidP="00A6337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09.02.2017</w:t>
      </w:r>
    </w:p>
    <w:p w:rsidR="00A6337C" w:rsidRPr="00B80B8E" w:rsidRDefault="00A6337C" w:rsidP="00A633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6337C" w:rsidRDefault="00A6337C" w:rsidP="00A6337C">
      <w:r>
        <w:t>м.п.</w:t>
      </w:r>
    </w:p>
    <w:p w:rsidR="00A6337C" w:rsidRDefault="00A6337C"/>
    <w:p w:rsidR="001B7BE5" w:rsidRDefault="001B7BE5"/>
    <w:p w:rsidR="001B7BE5" w:rsidRDefault="001B7BE5"/>
    <w:p w:rsidR="001B7BE5" w:rsidRDefault="001B7BE5"/>
    <w:p w:rsidR="001B7BE5" w:rsidRDefault="001B7BE5"/>
    <w:p w:rsidR="001B7BE5" w:rsidRDefault="001B7BE5"/>
    <w:p w:rsidR="001B7BE5" w:rsidRDefault="001B7BE5"/>
    <w:p w:rsidR="001B7BE5" w:rsidRDefault="001B7BE5"/>
    <w:p w:rsidR="001B7BE5" w:rsidRDefault="001B7BE5"/>
    <w:p w:rsidR="001B7BE5" w:rsidRDefault="001B7BE5" w:rsidP="001B7BE5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1B7BE5" w:rsidRDefault="001B7BE5" w:rsidP="001B7BE5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>г. Тамбов, ул. М. Горького, 17/129</w:t>
      </w:r>
    </w:p>
    <w:p w:rsidR="001B7BE5" w:rsidRDefault="001B7BE5" w:rsidP="001B7BE5">
      <w:pPr>
        <w:jc w:val="center"/>
        <w:rPr>
          <w:b/>
          <w:bCs/>
        </w:rPr>
      </w:pPr>
      <w:r>
        <w:rPr>
          <w:rFonts w:ascii="TimesNewRomanPSMT" w:eastAsia="Times New Roman" w:hAnsi="TimesNewRomanPSMT" w:cs="Times New Roman"/>
          <w:b/>
          <w:bCs/>
          <w:color w:val="000000"/>
        </w:rPr>
        <w:t xml:space="preserve">ИНН/КПП 6829107966/682901001 </w:t>
      </w:r>
      <w:r>
        <w:rPr>
          <w:rFonts w:ascii="TimesNewRomanPSMT" w:hAnsi="TimesNewRomanPSMT"/>
          <w:b/>
          <w:bCs/>
          <w:color w:val="000000"/>
        </w:rPr>
        <w:t>ОГРН 1156829001130 р/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40702810526100000498</w:t>
      </w:r>
    </w:p>
    <w:p w:rsidR="001B7BE5" w:rsidRDefault="001B7BE5" w:rsidP="001B7BE5">
      <w:pPr>
        <w:jc w:val="center"/>
        <w:rPr>
          <w:b/>
          <w:bCs/>
        </w:rPr>
      </w:pPr>
      <w:r>
        <w:rPr>
          <w:rFonts w:ascii="TimesNewRomanPSMT" w:hAnsi="TimesNewRomanPSMT"/>
          <w:b/>
          <w:bCs/>
          <w:color w:val="000000"/>
        </w:rPr>
        <w:t>к/</w:t>
      </w:r>
      <w:proofErr w:type="spellStart"/>
      <w:r>
        <w:rPr>
          <w:rFonts w:ascii="TimesNewRomanPSMT" w:hAnsi="TimesNewRomanPSMT"/>
          <w:b/>
          <w:bCs/>
          <w:color w:val="000000"/>
        </w:rPr>
        <w:t>сч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30101810000000000201 </w:t>
      </w:r>
      <w:r>
        <w:rPr>
          <w:rFonts w:ascii="TimesNewRomanPSMT" w:eastAsia="Times New Roman" w:hAnsi="TimesNewRomanPSMT" w:cs="Times New Roman"/>
          <w:b/>
          <w:bCs/>
          <w:color w:val="000000"/>
        </w:rPr>
        <w:t>в ПАО АКБ «АВАНГАРД» г. Москва БИК 044525201</w:t>
      </w:r>
    </w:p>
    <w:p w:rsidR="001B7BE5" w:rsidRDefault="001B7BE5" w:rsidP="001B7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1B7BE5" w:rsidRPr="00551D90" w:rsidRDefault="001B7BE5" w:rsidP="001B7BE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BE5" w:rsidRPr="00551D90" w:rsidRDefault="001B7BE5" w:rsidP="001B7BE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№1-18/10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марта 2017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1B7BE5" w:rsidRPr="003163A1" w:rsidRDefault="001B7BE5" w:rsidP="001B7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B7BE5" w:rsidRDefault="001B7BE5" w:rsidP="001B7BE5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1B7BE5" w:rsidRDefault="001B7BE5" w:rsidP="001B7BE5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1B7BE5" w:rsidRDefault="001B7BE5" w:rsidP="001B7BE5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1B7BE5" w:rsidRPr="00BF30A8" w:rsidRDefault="001B7BE5" w:rsidP="001B7B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1B7BE5" w:rsidRDefault="001B7BE5" w:rsidP="001B7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1B7BE5" w:rsidRDefault="001B7BE5" w:rsidP="001B7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B7BE5" w:rsidRPr="00083C77" w:rsidRDefault="001B7BE5" w:rsidP="001B7BE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083C77">
        <w:rPr>
          <w:rFonts w:ascii="Times New Roman" w:hAnsi="Times New Roman" w:cs="Times New Roman"/>
          <w:bCs/>
          <w:color w:val="000000"/>
          <w:sz w:val="25"/>
          <w:szCs w:val="25"/>
        </w:rPr>
        <w:t>В проектную декларацию внесены следующие изменения:</w:t>
      </w:r>
    </w:p>
    <w:p w:rsidR="001B7BE5" w:rsidRDefault="001B7BE5" w:rsidP="001B7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B7BE5" w:rsidRPr="003163A1" w:rsidRDefault="001B7BE5" w:rsidP="001B7BE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В разделе «</w:t>
      </w: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о</w:t>
      </w: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проекте строительства»</w:t>
      </w:r>
    </w:p>
    <w:p w:rsidR="001B7BE5" w:rsidRDefault="001B7BE5" w:rsidP="001B7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B7BE5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Добавить подраздел «</w:t>
      </w:r>
      <w:r w:rsidRPr="000B506F"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Вид договора, для исполнения которого застройщиком осуществляется реализация проекта строительства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» и   читать его в следующей редакции:</w:t>
      </w:r>
    </w:p>
    <w:p w:rsidR="001B7BE5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1B7BE5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«Видом договора, для исполнения которого застройщиком осуществляется реализация проекта строительства, является договор участия в долевом строительстве»</w:t>
      </w:r>
    </w:p>
    <w:p w:rsidR="001B7BE5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1B7BE5" w:rsidRDefault="001B7BE5" w:rsidP="001B7BE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   Дополнить подраздел «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</w:rPr>
        <w:t>Разрешение на строительство» фразой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: Срок действия настоящего разрешения – до 31 декабря 2017 года.</w:t>
      </w:r>
    </w:p>
    <w:p w:rsidR="001B7BE5" w:rsidRDefault="001B7BE5" w:rsidP="001B7BE5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Лица, выполнившие инженерные изыскания»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и   читать его в следующей редакции: «Технический отчет об инженерно-геологических работах выполнен ООО «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Архградо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»; отчет по инженерно-геодезическим изысканиям выполнен ООО «Тамбовская земельная компания»; отчет по инженерно-экологическим изысканиям выполнен ООО «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Архградо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».</w:t>
      </w:r>
    </w:p>
    <w:p w:rsidR="001B7BE5" w:rsidRDefault="001B7BE5" w:rsidP="001B7BE5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Лица, выполнившие архитектурно-строительное проектирование»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и   читать его в следующей редакции: «Архитектурно-строительное проектирование 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. Слобода, ул. Герасимова, 2Б выполнено ООО «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Архградо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>».</w:t>
      </w:r>
    </w:p>
    <w:p w:rsidR="001B7BE5" w:rsidRDefault="001B7BE5" w:rsidP="001B7BE5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Архитектурно-планировочные и технологические решения объекта строительства»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и   читать его в следующей редакции: «Проектом предусмотрено строительство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двухподъездного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пятиэтажного многоэтажного жилого дома. Здание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lastRenderedPageBreak/>
        <w:t xml:space="preserve">кирпичное, прямоугольное, с подвалом и чердаком, с двускатной стропильной кровлей с организованным наружным водоотводом. Предусмотрено металлическое ограждение кровли. Высота жилого этажа – 2,8 м. Высота помещений подвала от пола до потолка – 2,9 м. В доме запроектированы одно- и двухкомнатные квартиры. Для отделки фасадов и цоколя применена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керамогранитная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плитка. В проекте предусмотрены оконные и дверные балконные блоки с переплетами ПВХ и двухкамерными стеклопакетами. </w:t>
      </w:r>
      <w:r w:rsidRPr="004F5B34">
        <w:rPr>
          <w:rFonts w:ascii="Times New Roman" w:hAnsi="Times New Roman" w:cs="Times New Roman"/>
          <w:sz w:val="24"/>
          <w:szCs w:val="24"/>
        </w:rPr>
        <w:t>Подвальные помещения имеют обособленные выходы наружу.</w:t>
      </w:r>
      <w:r>
        <w:rPr>
          <w:rFonts w:ascii="Times New Roman" w:hAnsi="Times New Roman" w:cs="Times New Roman"/>
          <w:sz w:val="24"/>
          <w:szCs w:val="24"/>
        </w:rPr>
        <w:t xml:space="preserve"> Крыша двухскатная чердачная по деревянным наклонным стропилам. Выходы на кровлю предусмотрены через слуховые окна. Кровля запроектирована из стальных профилированных листов. Чердачное перекрытие утепляется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минераловатными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плитами повышенной жесткости. Отвод сточных вод с кровли организованы через водосточные желоба и трубы. Здание запроектировано с поквартирным отоплением  (в каждой квартире монтируется настенный газовый котел), водопроводом, канализацией, электричеством. </w:t>
      </w:r>
      <w:r w:rsidRPr="00D22364">
        <w:rPr>
          <w:rFonts w:ascii="Times New Roman" w:hAnsi="Times New Roman" w:cs="Times New Roman"/>
          <w:sz w:val="24"/>
          <w:szCs w:val="24"/>
        </w:rPr>
        <w:t>Ограждения балконов и лоджий — кирпичные. Лестницы запроектированы из сборных железобетонных маршей и площадок.</w:t>
      </w:r>
      <w:r>
        <w:rPr>
          <w:rFonts w:ascii="Times New Roman" w:hAnsi="Times New Roman" w:cs="Times New Roman"/>
          <w:sz w:val="24"/>
          <w:szCs w:val="24"/>
        </w:rPr>
        <w:t xml:space="preserve"> Фундаменты под стены – ленточные сборные железобетонные из железобетонных плит и бетонных блоков. Под фундаменты выполняется песчаная подготовка толщиной 100 мм. Цоколь выполняется из полнотелого керамического кирпича на цементно-песчаном растворе. Наружные стены запроектированы из силикатного кирпича на цементном растворе. Плиты перекрытия  и покрытия железобетонные пустотные.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Электроснабжение жилого дома запроектировано по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 надежности. За источник питании принята проектируемая комплектная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подстанция (КТП)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киоскового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типа. Наружные сети по водоснабжению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запроектированы на основании технических условий на подключение объекта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  сетям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 (водоснабжения, водоотведения и очистки сточных вод.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Здание запроектировано с учетом потребности инвалидов и других маломобильных групп населения.»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Добавить подраздел «</w:t>
      </w:r>
      <w:r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>Информация об этапах строительства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и   читать его в следующей редакции: 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«1. Разработка, согласование и утверждение в установленном порядке проектной и проектно-сметной документации, получение положительного заключения  экспертизы, получение разрешения на производство строительных работ;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2. Подготовка площадки к строительству;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3. Возведение подземных частей здания;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4. Возведение надземных частей здания;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5. Прокладка подземных коммуникаций;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6. Устройство тротуаров, дорог, площадок.»</w:t>
      </w: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1B7BE5" w:rsidRDefault="001B7BE5" w:rsidP="001B7B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Добавить подраздел </w:t>
      </w:r>
      <w:r w:rsidRPr="00E377F4">
        <w:rPr>
          <w:rFonts w:ascii="Times New Roman" w:hAnsi="Times New Roman" w:cs="Times New Roman"/>
          <w:bCs/>
          <w:color w:val="000000"/>
          <w:sz w:val="25"/>
          <w:szCs w:val="25"/>
        </w:rPr>
        <w:t>«</w:t>
      </w:r>
      <w:r w:rsidRPr="00E377F4">
        <w:rPr>
          <w:rFonts w:ascii="Times New Roman" w:hAnsi="Times New Roman" w:cs="Times New Roman"/>
          <w:sz w:val="24"/>
          <w:szCs w:val="24"/>
        </w:rPr>
        <w:t>Иные договоры и сделки, на основании которых привлекаются денежные средства    для      строительства    многоквартирного   дома,    за    исключением </w:t>
      </w:r>
      <w:r w:rsidRPr="00E377F4">
        <w:rPr>
          <w:rFonts w:ascii="Times New Roman" w:hAnsi="Times New Roman" w:cs="Times New Roman"/>
          <w:sz w:val="24"/>
          <w:szCs w:val="24"/>
        </w:rPr>
        <w:br/>
        <w:t>привлечения денежных средств на основании договоров участия в долевом строительстве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» и   читать его в следующей редакции: «</w:t>
      </w:r>
      <w:r w:rsidRPr="00E377F4">
        <w:rPr>
          <w:rFonts w:ascii="Times New Roman" w:hAnsi="Times New Roman" w:cs="Times New Roman"/>
          <w:sz w:val="24"/>
          <w:szCs w:val="24"/>
        </w:rPr>
        <w:t xml:space="preserve">Иные договоры и сделки, на основании которых привлекаются денежные средства    для      строительства </w:t>
      </w:r>
      <w:r>
        <w:rPr>
          <w:rFonts w:ascii="Times New Roman" w:hAnsi="Times New Roman" w:cs="Times New Roman"/>
          <w:sz w:val="24"/>
          <w:szCs w:val="24"/>
        </w:rPr>
        <w:t>(создании)</w:t>
      </w:r>
      <w:r w:rsidRPr="00E377F4">
        <w:rPr>
          <w:rFonts w:ascii="Times New Roman" w:hAnsi="Times New Roman" w:cs="Times New Roman"/>
          <w:sz w:val="24"/>
          <w:szCs w:val="24"/>
        </w:rPr>
        <w:t>   многоквартирного   дома</w:t>
      </w:r>
      <w:r w:rsidRPr="00E377F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. «Слобода», ул. Герасимова, 2 Б, за </w:t>
      </w:r>
      <w:r w:rsidRPr="00E377F4">
        <w:rPr>
          <w:rFonts w:ascii="Times New Roman" w:hAnsi="Times New Roman" w:cs="Times New Roman"/>
          <w:sz w:val="24"/>
          <w:szCs w:val="24"/>
        </w:rPr>
        <w:t>исключением привлечения денежных средств на основании договоров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>, не заключались.»</w:t>
      </w:r>
    </w:p>
    <w:p w:rsidR="001B7BE5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1B7BE5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1B7BE5" w:rsidRPr="009305FF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1B7BE5" w:rsidRPr="00A270DD" w:rsidRDefault="001B7BE5" w:rsidP="001B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1B7BE5" w:rsidRDefault="00BD784C" w:rsidP="001B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3" w:history="1">
        <w:r w:rsidR="001B7BE5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1B7BE5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1B7BE5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1B7BE5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1B7BE5" w:rsidRDefault="001B7BE5" w:rsidP="001B7BE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1B7BE5" w:rsidRDefault="001B7BE5" w:rsidP="001B7BE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1B7BE5" w:rsidRPr="002146D0" w:rsidRDefault="001B7BE5" w:rsidP="001B7BE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13.03.2017</w:t>
      </w:r>
    </w:p>
    <w:p w:rsidR="001B7BE5" w:rsidRPr="00B80B8E" w:rsidRDefault="001B7BE5" w:rsidP="001B7B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1B7BE5" w:rsidRDefault="001B7BE5" w:rsidP="001B7BE5">
      <w:r>
        <w:t>м.п.</w:t>
      </w:r>
    </w:p>
    <w:p w:rsidR="001B7BE5" w:rsidRDefault="001B7BE5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/>
    <w:p w:rsidR="004F0837" w:rsidRDefault="004F0837" w:rsidP="004F0837">
      <w:pPr>
        <w:jc w:val="center"/>
        <w:rPr>
          <w:rFonts w:ascii="Liberation Serif" w:eastAsia="Arial Unicode MS" w:hAnsi="Liberation Serif" w:cs="Arial Unicode MS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ООО «ИНВЕСТСТРОЙ»</w:t>
      </w:r>
    </w:p>
    <w:p w:rsidR="004F0837" w:rsidRPr="004B0C18" w:rsidRDefault="004F0837" w:rsidP="004F0837">
      <w:pPr>
        <w:jc w:val="center"/>
        <w:rPr>
          <w:rFonts w:ascii="Times New Roman" w:hAnsi="Times New Roman" w:cs="Times New Roman"/>
          <w:b/>
          <w:bCs/>
        </w:rPr>
      </w:pPr>
      <w:r w:rsidRPr="004B0C18">
        <w:rPr>
          <w:rFonts w:ascii="Times New Roman" w:eastAsia="Times New Roman" w:hAnsi="Times New Roman" w:cs="Times New Roman"/>
          <w:b/>
          <w:bCs/>
          <w:color w:val="000000"/>
        </w:rPr>
        <w:t>г. Тамбов, ул. М. Горького, 17/129</w:t>
      </w:r>
    </w:p>
    <w:p w:rsidR="004F0837" w:rsidRPr="004B0C18" w:rsidRDefault="004F0837" w:rsidP="004F0837">
      <w:pPr>
        <w:jc w:val="center"/>
        <w:rPr>
          <w:rFonts w:ascii="Times New Roman" w:hAnsi="Times New Roman" w:cs="Times New Roman"/>
          <w:b/>
          <w:bCs/>
        </w:rPr>
      </w:pPr>
      <w:r w:rsidRPr="004B0C18">
        <w:rPr>
          <w:rFonts w:ascii="Times New Roman" w:eastAsia="Times New Roman" w:hAnsi="Times New Roman" w:cs="Times New Roman"/>
          <w:b/>
          <w:bCs/>
          <w:color w:val="000000"/>
        </w:rPr>
        <w:t xml:space="preserve">ИНН/КПП 6829107966/682901001 </w:t>
      </w:r>
      <w:r w:rsidRPr="004B0C18">
        <w:rPr>
          <w:rFonts w:ascii="Times New Roman" w:hAnsi="Times New Roman" w:cs="Times New Roman"/>
          <w:b/>
          <w:bCs/>
          <w:color w:val="000000"/>
        </w:rPr>
        <w:t>ОГРН 1156829001130 р/</w:t>
      </w:r>
      <w:proofErr w:type="spellStart"/>
      <w:r w:rsidRPr="004B0C18">
        <w:rPr>
          <w:rFonts w:ascii="Times New Roman" w:hAnsi="Times New Roman" w:cs="Times New Roman"/>
          <w:b/>
          <w:bCs/>
          <w:color w:val="000000"/>
        </w:rPr>
        <w:t>сч</w:t>
      </w:r>
      <w:proofErr w:type="spellEnd"/>
      <w:r w:rsidRPr="004B0C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C18">
        <w:rPr>
          <w:rFonts w:ascii="Times New Roman" w:hAnsi="Times New Roman" w:cs="Times New Roman"/>
          <w:b/>
          <w:color w:val="222222"/>
        </w:rPr>
        <w:t>40702810261000003061</w:t>
      </w:r>
    </w:p>
    <w:p w:rsidR="004F0837" w:rsidRPr="004B0C18" w:rsidRDefault="004F0837" w:rsidP="004F0837">
      <w:pPr>
        <w:jc w:val="center"/>
        <w:rPr>
          <w:rFonts w:ascii="Times New Roman" w:hAnsi="Times New Roman" w:cs="Times New Roman"/>
          <w:b/>
          <w:bCs/>
        </w:rPr>
      </w:pPr>
      <w:r w:rsidRPr="004B0C18">
        <w:rPr>
          <w:rFonts w:ascii="Times New Roman" w:hAnsi="Times New Roman" w:cs="Times New Roman"/>
          <w:b/>
          <w:bCs/>
          <w:color w:val="000000"/>
        </w:rPr>
        <w:t>к/</w:t>
      </w:r>
      <w:proofErr w:type="spellStart"/>
      <w:r w:rsidRPr="004B0C18">
        <w:rPr>
          <w:rFonts w:ascii="Times New Roman" w:hAnsi="Times New Roman" w:cs="Times New Roman"/>
          <w:b/>
          <w:bCs/>
          <w:color w:val="000000"/>
        </w:rPr>
        <w:t>сч</w:t>
      </w:r>
      <w:proofErr w:type="spellEnd"/>
      <w:r w:rsidRPr="004B0C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C18">
        <w:rPr>
          <w:rFonts w:ascii="Times New Roman" w:hAnsi="Times New Roman" w:cs="Times New Roman"/>
          <w:b/>
          <w:color w:val="222222"/>
        </w:rPr>
        <w:t xml:space="preserve">30101810800000000649 </w:t>
      </w:r>
      <w:r w:rsidRPr="004B0C18"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 w:rsidRPr="004B0C18">
        <w:rPr>
          <w:rFonts w:ascii="Times New Roman" w:hAnsi="Times New Roman" w:cs="Times New Roman"/>
          <w:b/>
          <w:color w:val="222222"/>
        </w:rPr>
        <w:t>ТАМБОВСКОМ ОТДЕЛЕНИИ N8594 ПАО СБЕРБАНК</w:t>
      </w:r>
      <w:r w:rsidRPr="004B0C18">
        <w:rPr>
          <w:rFonts w:ascii="Times New Roman" w:eastAsia="Times New Roman" w:hAnsi="Times New Roman" w:cs="Times New Roman"/>
          <w:b/>
          <w:bCs/>
          <w:color w:val="000000"/>
        </w:rPr>
        <w:t xml:space="preserve"> БИК </w:t>
      </w:r>
      <w:r w:rsidRPr="004B0C18">
        <w:rPr>
          <w:rFonts w:ascii="Times New Roman" w:hAnsi="Times New Roman" w:cs="Times New Roman"/>
          <w:b/>
          <w:color w:val="222222"/>
        </w:rPr>
        <w:t>046850649</w:t>
      </w:r>
    </w:p>
    <w:p w:rsidR="004F0837" w:rsidRDefault="004F0837" w:rsidP="004F0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4F0837" w:rsidRPr="00551D90" w:rsidRDefault="004F0837" w:rsidP="004F083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0837" w:rsidRPr="00551D90" w:rsidRDefault="004F0837" w:rsidP="004F083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№1-18/11</w:t>
      </w:r>
      <w:r w:rsidRPr="00551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апреля 2017</w:t>
      </w:r>
      <w:r w:rsidRPr="001A2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4F0837" w:rsidRPr="003163A1" w:rsidRDefault="004F0837" w:rsidP="004F0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F0837" w:rsidRDefault="004F0837" w:rsidP="004F0837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4F0837" w:rsidRDefault="004F0837" w:rsidP="004F0837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4F0837" w:rsidRDefault="004F0837" w:rsidP="004F0837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4F0837" w:rsidRDefault="004F0837" w:rsidP="004F0837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4F0837" w:rsidRPr="00BF30A8" w:rsidRDefault="004F0837" w:rsidP="004F0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F30A8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4F0837" w:rsidRDefault="004F0837" w:rsidP="004F0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многоквартирного жилого дома с кладовыми в подвале по адресу: Тамбовская область, Тамбовский район, д. Крутые Выселки,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. «Слобода», ул. Герасимова 2Б.</w:t>
      </w:r>
    </w:p>
    <w:p w:rsidR="004F0837" w:rsidRDefault="004F0837" w:rsidP="004F0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F0837" w:rsidRPr="003163A1" w:rsidRDefault="004F0837" w:rsidP="004F083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4F0837" w:rsidRDefault="004F0837" w:rsidP="004F0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F0837" w:rsidRDefault="004F0837" w:rsidP="004F0837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</w:t>
      </w:r>
      <w:r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.01.2017 г.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прибыль 25 тыс. руб.</w:t>
      </w:r>
    </w:p>
    <w:p w:rsidR="004F0837" w:rsidRDefault="004F0837" w:rsidP="004F0837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кредиторской задолженности по состоянию на </w:t>
      </w:r>
      <w:r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1.01.2017 г.: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732 тыс. руб.</w:t>
      </w:r>
    </w:p>
    <w:p w:rsidR="004F0837" w:rsidRDefault="004F0837" w:rsidP="004F0837">
      <w:p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по состоянию на </w:t>
      </w:r>
      <w:r w:rsidRPr="0068411D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.01.2017 г.: 7 608 тыс.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4F0837" w:rsidRPr="004B0C18" w:rsidRDefault="004F0837" w:rsidP="004F0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Банковские реквизиты застройщика</w:t>
      </w:r>
      <w:r w:rsidRPr="004B0C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Pr="004B0C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г. Тамбов, ул. М. Горького, 17/</w:t>
      </w:r>
      <w:proofErr w:type="gramStart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129,ИНН</w:t>
      </w:r>
      <w:proofErr w:type="gramEnd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/КПП 6829107966/682901001 </w:t>
      </w:r>
      <w:r w:rsidRPr="004B0C18">
        <w:rPr>
          <w:rFonts w:ascii="Times New Roman" w:hAnsi="Times New Roman" w:cs="Times New Roman"/>
          <w:color w:val="000000"/>
          <w:sz w:val="24"/>
          <w:szCs w:val="24"/>
        </w:rPr>
        <w:t>ОГРН 1156829001130 р/</w:t>
      </w:r>
      <w:proofErr w:type="spellStart"/>
      <w:r w:rsidRPr="004B0C18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4B0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>40702810261000003061</w:t>
      </w:r>
      <w:r w:rsidRPr="004B0C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spellStart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 xml:space="preserve">30101810800000000649 </w:t>
      </w:r>
      <w:r w:rsidRPr="004B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>ТАМБОВСКОМ ОТДЕЛЕНИИ N8594 ПАО СБЕРБАНК</w:t>
      </w:r>
      <w:r w:rsidRPr="004B0C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БИК </w:t>
      </w:r>
      <w:r w:rsidRPr="004B0C18">
        <w:rPr>
          <w:rFonts w:ascii="Times New Roman" w:hAnsi="Times New Roman" w:cs="Times New Roman"/>
          <w:color w:val="222222"/>
          <w:sz w:val="24"/>
          <w:szCs w:val="24"/>
        </w:rPr>
        <w:t>046850649</w:t>
      </w:r>
    </w:p>
    <w:p w:rsidR="004F0837" w:rsidRPr="004B0C18" w:rsidRDefault="004F0837" w:rsidP="004F08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0837" w:rsidRPr="00A270DD" w:rsidRDefault="004F0837" w:rsidP="004F08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 w:cs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 w:cs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 w:cs="Times New Roman"/>
          <w:bCs/>
          <w:sz w:val="25"/>
          <w:szCs w:val="25"/>
        </w:rPr>
        <w:t>в сети Интернет: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4F0837" w:rsidRDefault="00BD784C" w:rsidP="004F08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14" w:history="1">
        <w:r w:rsidR="004F0837"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="004F0837"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</w:t>
        </w:r>
        <w:proofErr w:type="spellStart"/>
        <w:r w:rsidR="004F0837" w:rsidRPr="009E60B0">
          <w:rPr>
            <w:rStyle w:val="a5"/>
            <w:rFonts w:ascii="Times New Roman" w:hAnsi="Times New Roman"/>
            <w:bCs/>
            <w:sz w:val="25"/>
            <w:szCs w:val="25"/>
          </w:rPr>
          <w:t>изумрудный.рф</w:t>
        </w:r>
        <w:proofErr w:type="spellEnd"/>
        <w:r w:rsidR="004F0837" w:rsidRPr="009E60B0">
          <w:rPr>
            <w:rStyle w:val="a5"/>
            <w:rFonts w:ascii="Times New Roman" w:hAnsi="Times New Roman"/>
            <w:bCs/>
            <w:sz w:val="25"/>
            <w:szCs w:val="25"/>
          </w:rPr>
          <w:t>/</w:t>
        </w:r>
      </w:hyperlink>
    </w:p>
    <w:p w:rsidR="004F0837" w:rsidRDefault="004F0837" w:rsidP="004F083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4F0837" w:rsidRDefault="004F0837" w:rsidP="004F083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4F0837" w:rsidRPr="002146D0" w:rsidRDefault="004F0837" w:rsidP="004F083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Дата публикации 06.04.2017</w:t>
      </w:r>
    </w:p>
    <w:p w:rsidR="004F0837" w:rsidRPr="00B80B8E" w:rsidRDefault="004F0837" w:rsidP="004F08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4F0837" w:rsidRDefault="004F0837" w:rsidP="004F0837">
      <w:r>
        <w:t>м.п.</w:t>
      </w:r>
    </w:p>
    <w:p w:rsidR="004F0837" w:rsidRPr="00BC782F" w:rsidRDefault="004F0837" w:rsidP="004F083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4F0837" w:rsidRDefault="004F0837" w:rsidP="004F0837">
      <w:pPr>
        <w:pStyle w:val="a3"/>
        <w:spacing w:after="0" w:line="240" w:lineRule="auto"/>
        <w:ind w:left="709"/>
      </w:pPr>
    </w:p>
    <w:p w:rsidR="004F0837" w:rsidRDefault="004F0837"/>
    <w:sectPr w:rsidR="004F0837" w:rsidSect="002167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427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640100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4B4200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F0382B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FD4C78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55911B4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54C4E9C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446F55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ED809CA"/>
    <w:multiLevelType w:val="multilevel"/>
    <w:tmpl w:val="C6C89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49"/>
    <w:rsid w:val="000137EA"/>
    <w:rsid w:val="001B7BE5"/>
    <w:rsid w:val="00216749"/>
    <w:rsid w:val="004F0837"/>
    <w:rsid w:val="00576744"/>
    <w:rsid w:val="00644195"/>
    <w:rsid w:val="0068411D"/>
    <w:rsid w:val="006B6E28"/>
    <w:rsid w:val="006C3F40"/>
    <w:rsid w:val="008562A6"/>
    <w:rsid w:val="00910D21"/>
    <w:rsid w:val="009A2783"/>
    <w:rsid w:val="00A3332D"/>
    <w:rsid w:val="00A61812"/>
    <w:rsid w:val="00A6337C"/>
    <w:rsid w:val="00BB3F09"/>
    <w:rsid w:val="00BD507B"/>
    <w:rsid w:val="00BD784C"/>
    <w:rsid w:val="00D16F56"/>
    <w:rsid w:val="00F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BD2F5-3CD1-456E-8622-3E0AC80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49"/>
    <w:pPr>
      <w:ind w:left="720"/>
      <w:contextualSpacing/>
    </w:pPr>
  </w:style>
  <w:style w:type="paragraph" w:customStyle="1" w:styleId="Default">
    <w:name w:val="Default"/>
    <w:qFormat/>
    <w:rsid w:val="00216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Посещённая гиперссылка"/>
    <w:rsid w:val="00216749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216749"/>
    <w:rPr>
      <w:color w:val="0000FF" w:themeColor="hyperlink"/>
      <w:u w:val="single"/>
    </w:rPr>
  </w:style>
  <w:style w:type="paragraph" w:customStyle="1" w:styleId="a6">
    <w:name w:val="Пункт"/>
    <w:basedOn w:val="a"/>
    <w:rsid w:val="00F11AEA"/>
    <w:pPr>
      <w:spacing w:before="20" w:after="20" w:line="240" w:lineRule="auto"/>
      <w:ind w:left="170"/>
      <w:jc w:val="both"/>
      <w:outlineLvl w:val="1"/>
    </w:pPr>
    <w:rPr>
      <w:rFonts w:ascii="Arial" w:eastAsia="Times New Roman" w:hAnsi="Arial" w:cs="Arial"/>
      <w:sz w:val="21"/>
      <w:szCs w:val="21"/>
      <w:lang w:eastAsia="ru-RU"/>
    </w:rPr>
  </w:style>
  <w:style w:type="paragraph" w:styleId="a7">
    <w:name w:val="No Spacing"/>
    <w:uiPriority w:val="1"/>
    <w:qFormat/>
    <w:rsid w:val="00A63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3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2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1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5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4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Скоробогатова Светлана Владимировна</cp:lastModifiedBy>
  <cp:revision>2</cp:revision>
  <dcterms:created xsi:type="dcterms:W3CDTF">2017-07-14T07:59:00Z</dcterms:created>
  <dcterms:modified xsi:type="dcterms:W3CDTF">2017-07-14T07:59:00Z</dcterms:modified>
</cp:coreProperties>
</file>